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Paper Title* (use style: paper title)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36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*Note: Sub-titles are not captured in Xplore and should not be used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360" w:line="12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540" w:left="893" w:right="893" w:header="720" w:footer="720"/>
          <w:pgNumType w:start="1"/>
          <w:titlePg w:val="1"/>
        </w:sect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1: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 </w:t>
        <w:br w:type="textWrapping"/>
        <w:t xml:space="preserve">line 2: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line 3: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4: City, Country</w:t>
        <w:br w:type="textWrapping"/>
        <w:t xml:space="preserve">line 5: email address or ORCID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1: 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t xml:space="preserve">line 2: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line 3: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4: City, Country</w:t>
        <w:br w:type="textWrapping"/>
        <w:t xml:space="preserve">line 5: email address  or ORCID</w:t>
      </w: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1: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t xml:space="preserve">line 2: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line 3: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4: City, Country</w:t>
        <w:br w:type="textWrapping"/>
        <w:t xml:space="preserve">line 5: email address or ORCID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1: 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t xml:space="preserve">line 2: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line 3: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4: City, Country</w:t>
        <w:br w:type="textWrapping"/>
        <w:t xml:space="preserve">line 5: email address  or ORCID</w:t>
      </w: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1: 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t xml:space="preserve">line 2: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line 3: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4: City, Country</w:t>
        <w:br w:type="textWrapping"/>
        <w:t xml:space="preserve">line 5: email address or ORCID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1: 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t xml:space="preserve">line 2: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line 3: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4: City, Country</w:t>
        <w:br w:type="textWrapping"/>
        <w:t xml:space="preserve">line 5: email address or ORCID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rP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—This electronic document is a “live” template and already defines the components of your paper [title, text, heads, etc.] in its style sheet.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*CRITICAL:  Do Not Use Symbols, Special Characters, Footnotes, or Math in Paper Title or 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Keywords—component, formatting, style, styling, insert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key words</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B">
      <w:pPr>
        <w:pStyle w:val="Heading1"/>
        <w:numPr>
          <w:ilvl w:val="0"/>
          <w:numId w:val="4"/>
        </w:numPr>
        <w:ind w:left="0" w:firstLine="216"/>
        <w:rPr/>
      </w:pPr>
      <w:r w:rsidDel="00000000" w:rsidR="00000000" w:rsidRPr="00000000">
        <w:rPr>
          <w:smallCaps w:val="1"/>
          <w:vertAlign w:val="baseline"/>
          <w:rtl w:val="0"/>
        </w:rPr>
        <w:t xml:space="preserve">Introduction (</w:t>
      </w:r>
      <w:r w:rsidDel="00000000" w:rsidR="00000000" w:rsidRPr="00000000">
        <w:rPr>
          <w:i w:val="1"/>
          <w:smallCaps w:val="1"/>
          <w:vertAlign w:val="baseline"/>
          <w:rtl w:val="0"/>
        </w:rPr>
        <w:t xml:space="preserve">Heading 1</w:t>
      </w:r>
      <w:r w:rsidDel="00000000" w:rsidR="00000000" w:rsidRPr="00000000">
        <w:rPr>
          <w:smallCaps w:val="1"/>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000000" w:rsidDel="00000000" w:rsidP="00000000" w:rsidRDefault="00000000" w:rsidRPr="00000000" w14:paraId="0000000D">
      <w:pPr>
        <w:pStyle w:val="Heading1"/>
        <w:numPr>
          <w:ilvl w:val="0"/>
          <w:numId w:val="4"/>
        </w:numPr>
        <w:ind w:left="0" w:firstLine="216"/>
        <w:rPr/>
      </w:pPr>
      <w:r w:rsidDel="00000000" w:rsidR="00000000" w:rsidRPr="00000000">
        <w:rPr>
          <w:smallCaps w:val="1"/>
          <w:vertAlign w:val="baseline"/>
          <w:rtl w:val="0"/>
        </w:rPr>
        <w:t xml:space="preserve">Ease of Use</w:t>
      </w:r>
      <w:r w:rsidDel="00000000" w:rsidR="00000000" w:rsidRPr="00000000">
        <w:rPr>
          <w:rtl w:val="0"/>
        </w:rPr>
      </w:r>
    </w:p>
    <w:p w:rsidR="00000000" w:rsidDel="00000000" w:rsidP="00000000" w:rsidRDefault="00000000" w:rsidRPr="00000000" w14:paraId="0000000E">
      <w:pPr>
        <w:pStyle w:val="Heading2"/>
        <w:numPr>
          <w:ilvl w:val="1"/>
          <w:numId w:val="4"/>
        </w:numPr>
        <w:ind w:left="288" w:hanging="288"/>
        <w:rPr/>
      </w:pPr>
      <w:r w:rsidDel="00000000" w:rsidR="00000000" w:rsidRPr="00000000">
        <w:rPr>
          <w:i w:val="1"/>
          <w:vertAlign w:val="baseline"/>
          <w:rtl w:val="0"/>
        </w:rPr>
        <w:t xml:space="preserve">Selecting a Template (Heading 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confirm that you have the correct template for your paper size. This template has been tailored for output on the A4 paper size. If you are using US letter-sized paper, please close this file and download the Microsoft Word, Letter file.</w:t>
      </w:r>
    </w:p>
    <w:p w:rsidR="00000000" w:rsidDel="00000000" w:rsidP="00000000" w:rsidRDefault="00000000" w:rsidRPr="00000000" w14:paraId="00000010">
      <w:pPr>
        <w:pStyle w:val="Heading2"/>
        <w:numPr>
          <w:ilvl w:val="1"/>
          <w:numId w:val="4"/>
        </w:numPr>
        <w:ind w:left="288" w:hanging="288"/>
        <w:rPr/>
      </w:pPr>
      <w:r w:rsidDel="00000000" w:rsidR="00000000" w:rsidRPr="00000000">
        <w:rPr>
          <w:i w:val="1"/>
          <w:vertAlign w:val="baseline"/>
          <w:rtl w:val="0"/>
        </w:rPr>
        <w:t xml:space="preserve">Maintaining the Integrity of the Specifications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000000" w:rsidDel="00000000" w:rsidP="00000000" w:rsidRDefault="00000000" w:rsidRPr="00000000" w14:paraId="00000012">
      <w:pPr>
        <w:pStyle w:val="Heading1"/>
        <w:numPr>
          <w:ilvl w:val="0"/>
          <w:numId w:val="4"/>
        </w:numPr>
        <w:ind w:left="0" w:firstLine="216"/>
        <w:rPr/>
      </w:pPr>
      <w:r w:rsidDel="00000000" w:rsidR="00000000" w:rsidRPr="00000000">
        <w:rPr>
          <w:smallCaps w:val="1"/>
          <w:vertAlign w:val="baseline"/>
          <w:rtl w:val="0"/>
        </w:rPr>
        <w:t xml:space="preserve">Prepare Your Paper Before Styling</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Before you begin to format your paper, first write and save the content as a separate text file. Complete all content and organizational editing before formatting. Please note sections A-D below for more information on proofreading, spelling and grammar.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000000" w:rsidDel="00000000" w:rsidP="00000000" w:rsidRDefault="00000000" w:rsidRPr="00000000" w14:paraId="00000015">
      <w:pPr>
        <w:pStyle w:val="Heading2"/>
        <w:numPr>
          <w:ilvl w:val="1"/>
          <w:numId w:val="4"/>
        </w:numPr>
        <w:ind w:left="288" w:hanging="288"/>
        <w:rPr/>
      </w:pPr>
      <w:r w:rsidDel="00000000" w:rsidR="00000000" w:rsidRPr="00000000">
        <w:rPr>
          <w:i w:val="1"/>
          <w:vertAlign w:val="baseline"/>
          <w:rtl w:val="0"/>
        </w:rPr>
        <w:t xml:space="preserve">Abbreviations and Acronyms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000000" w:rsidDel="00000000" w:rsidP="00000000" w:rsidRDefault="00000000" w:rsidRPr="00000000" w14:paraId="00000017">
      <w:pPr>
        <w:pStyle w:val="Heading2"/>
        <w:numPr>
          <w:ilvl w:val="1"/>
          <w:numId w:val="4"/>
        </w:numPr>
        <w:ind w:left="288" w:hanging="288"/>
        <w:rPr/>
      </w:pPr>
      <w:r w:rsidDel="00000000" w:rsidR="00000000" w:rsidRPr="00000000">
        <w:rPr>
          <w:i w:val="1"/>
          <w:vertAlign w:val="baseline"/>
          <w:rtl w:val="0"/>
        </w:rPr>
        <w:t xml:space="preserve">Units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either SI (MKS) or CGS as primary units. (SI units are encouraged.) English units may be used as secondary units (in parentheses). An exception would be the use of English units as identifiers in trade, such as “3.5-inch disk drive”.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mix complete spellings and abbreviations of units: “Wb/m2” or “webers per square meter”, not “webers/m2”.  Spell out units when they appear in text: “. . . a few henries”, not “. . . a few H”.</w:t>
      </w:r>
    </w:p>
    <w:p w:rsidR="00000000" w:rsidDel="00000000" w:rsidP="00000000" w:rsidRDefault="00000000" w:rsidRPr="00000000" w14:paraId="0000001B">
      <w:pPr>
        <w:keepNext w:val="0"/>
        <w:keepLines w:val="0"/>
        <w:pageBreakBefore w:val="0"/>
        <w:widowControl w:val="1"/>
        <w:pBdr>
          <w:top w:color="000000" w:space="2" w:sz="4" w:val="single"/>
          <w:left w:space="0" w:sz="0" w:val="nil"/>
          <w:bottom w:space="0" w:sz="0" w:val="nil"/>
          <w:right w:space="0" w:sz="0" w:val="nil"/>
          <w:between w:space="0" w:sz="0" w:val="nil"/>
        </w:pBdr>
        <w:shd w:fill="auto" w:val="clear"/>
        <w:spacing w:after="0" w:before="0" w:line="240" w:lineRule="auto"/>
        <w:ind w:left="0" w:right="0" w:firstLine="289"/>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Identify applicable funding agency here. If none, delete this text box.</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a zero before decimal points: “0.25”, not “.25”. Use “cm3”, not “cc”.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bullet list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pStyle w:val="Heading2"/>
        <w:numPr>
          <w:ilvl w:val="1"/>
          <w:numId w:val="4"/>
        </w:numPr>
        <w:ind w:left="288" w:hanging="288"/>
        <w:rPr/>
      </w:pPr>
      <w:r w:rsidDel="00000000" w:rsidR="00000000" w:rsidRPr="00000000">
        <w:rPr>
          <w:i w:val="1"/>
          <w:vertAlign w:val="baseline"/>
          <w:rtl w:val="0"/>
        </w:rPr>
        <w:t xml:space="preserve">Equations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16" w:lineRule="auto"/>
        <w:ind w:left="0" w:right="0" w:firstLine="0"/>
        <w:jc w:val="center"/>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tab/>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that the equation is centered using a center tab stop. Be sure that the symbols in your equation have been defined before or immediately following the equation. Use “(1)”, not “Eq. (1)” or “equation (1)”, except at the beginning of a sentence: “Equation (1) is . . .”</w:t>
      </w:r>
    </w:p>
    <w:p w:rsidR="00000000" w:rsidDel="00000000" w:rsidP="00000000" w:rsidRDefault="00000000" w:rsidRPr="00000000" w14:paraId="00000022">
      <w:pPr>
        <w:pStyle w:val="Heading2"/>
        <w:numPr>
          <w:ilvl w:val="1"/>
          <w:numId w:val="4"/>
        </w:numPr>
        <w:ind w:left="288" w:hanging="288"/>
        <w:rPr/>
      </w:pPr>
      <w:r w:rsidDel="00000000" w:rsidR="00000000" w:rsidRPr="00000000">
        <w:rPr>
          <w:i w:val="1"/>
          <w:vertAlign w:val="baseline"/>
          <w:rtl w:val="0"/>
        </w:rPr>
        <w:t xml:space="preserve">Some Common Mistakes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word “data” is plural, not singular.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subscript for the permeability of vacuum </w:t>
      </w:r>
      <w:r w:rsidDel="00000000" w:rsidR="00000000" w:rsidRPr="00000000">
        <w:rPr>
          <w:rFonts w:ascii="Noto Sans Symbols" w:cs="Noto Sans Symbols" w:eastAsia="Noto Sans Symbols" w:hAnsi="Noto Sans Symbols"/>
          <w:b w:val="0"/>
          <w:i w:val="1"/>
          <w:smallCaps w:val="0"/>
          <w:strike w:val="0"/>
          <w:color w:val="000000"/>
          <w:sz w:val="20"/>
          <w:szCs w:val="20"/>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other common scientific constants, is zero with subscript formatting, not a lowercase letter “o”.</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graph within a graph is an “inset”, not an “insert”. The word alternatively is preferred to the word “alternately” (unless you really mean something that alternates).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use the word “essentially” to mean “approximately” or “effectively”.</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your paper title, if the words “that uses” can accurately replace the word “using”, capitalize the “u”; if not, keep using lower-cased.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aware of the different meanings of the homophones “affect” and “effect”, “complement” and “compliment”, “discreet” and “discrete”, “principal” and “principle”.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confuse “imply” and “infer”.</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prefix “non” is not a word; it should be joined to the word it modifies, usually without a hyphen.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no period after the “et” in the Latin abbreviation “et al.”.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28" w:lineRule="auto"/>
        <w:ind w:left="648"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abbreviation “i.e.” means “that is”, and the abbreviation “e.g.” means “for example”.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excellent style manual for science writers is [7].</w:t>
      </w:r>
    </w:p>
    <w:p w:rsidR="00000000" w:rsidDel="00000000" w:rsidP="00000000" w:rsidRDefault="00000000" w:rsidRPr="00000000" w14:paraId="0000002F">
      <w:pPr>
        <w:pStyle w:val="Heading1"/>
        <w:numPr>
          <w:ilvl w:val="0"/>
          <w:numId w:val="4"/>
        </w:numPr>
        <w:ind w:left="0" w:firstLine="216"/>
        <w:rPr/>
      </w:pPr>
      <w:r w:rsidDel="00000000" w:rsidR="00000000" w:rsidRPr="00000000">
        <w:rPr>
          <w:smallCaps w:val="1"/>
          <w:vertAlign w:val="baseline"/>
          <w:rtl w:val="0"/>
        </w:rPr>
        <w:t xml:space="preserve">Using the Template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000000" w:rsidDel="00000000" w:rsidP="00000000" w:rsidRDefault="00000000" w:rsidRPr="00000000" w14:paraId="00000031">
      <w:pPr>
        <w:pStyle w:val="Heading2"/>
        <w:numPr>
          <w:ilvl w:val="1"/>
          <w:numId w:val="4"/>
        </w:numPr>
        <w:ind w:left="288" w:hanging="288"/>
        <w:rPr/>
      </w:pPr>
      <w:r w:rsidDel="00000000" w:rsidR="00000000" w:rsidRPr="00000000">
        <w:rPr>
          <w:i w:val="1"/>
          <w:vertAlign w:val="baseline"/>
          <w:rtl w:val="0"/>
        </w:rPr>
        <w:t xml:space="preserve">Authors and Affiliations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template is designed for, but not limited to, six authors.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rsidR="00000000" w:rsidDel="00000000" w:rsidP="00000000" w:rsidRDefault="00000000" w:rsidRPr="00000000" w14:paraId="00000033">
      <w:pPr>
        <w:pStyle w:val="Heading3"/>
        <w:numPr>
          <w:ilvl w:val="2"/>
          <w:numId w:val="4"/>
        </w:numPr>
        <w:ind w:left="0" w:firstLine="180"/>
        <w:rPr/>
      </w:pPr>
      <w:r w:rsidDel="00000000" w:rsidR="00000000" w:rsidRPr="00000000">
        <w:rPr>
          <w:i w:val="1"/>
          <w:vertAlign w:val="baseline"/>
          <w:rtl w:val="0"/>
        </w:rPr>
        <w:t xml:space="preserve">For papers with more than six authors: </w:t>
      </w:r>
      <w:r w:rsidDel="00000000" w:rsidR="00000000" w:rsidRPr="00000000">
        <w:rPr>
          <w:i w:val="0"/>
          <w:vertAlign w:val="baseline"/>
          <w:rtl w:val="0"/>
        </w:rPr>
        <w:t xml:space="preserve">Add author names horizontally, moving to a third row if needed for more than 8 authors.</w:t>
      </w:r>
      <w:r w:rsidDel="00000000" w:rsidR="00000000" w:rsidRPr="00000000">
        <w:rPr>
          <w:rtl w:val="0"/>
        </w:rPr>
      </w:r>
    </w:p>
    <w:p w:rsidR="00000000" w:rsidDel="00000000" w:rsidP="00000000" w:rsidRDefault="00000000" w:rsidRPr="00000000" w14:paraId="00000034">
      <w:pPr>
        <w:pStyle w:val="Heading3"/>
        <w:numPr>
          <w:ilvl w:val="2"/>
          <w:numId w:val="4"/>
        </w:numPr>
        <w:ind w:left="0" w:firstLine="180"/>
        <w:rPr/>
      </w:pPr>
      <w:r w:rsidDel="00000000" w:rsidR="00000000" w:rsidRPr="00000000">
        <w:rPr>
          <w:i w:val="1"/>
          <w:vertAlign w:val="baseline"/>
          <w:rtl w:val="0"/>
        </w:rPr>
        <w:t xml:space="preserve">For papers with less than six authors: </w:t>
      </w:r>
      <w:r w:rsidDel="00000000" w:rsidR="00000000" w:rsidRPr="00000000">
        <w:rPr>
          <w:i w:val="0"/>
          <w:vertAlign w:val="baseline"/>
          <w:rtl w:val="0"/>
        </w:rPr>
        <w:t xml:space="preserve">To change the default, adjust the template as follows.</w:t>
      </w:r>
      <w:r w:rsidDel="00000000" w:rsidR="00000000" w:rsidRPr="00000000">
        <w:rPr>
          <w:rtl w:val="0"/>
        </w:rPr>
      </w:r>
    </w:p>
    <w:p w:rsidR="00000000" w:rsidDel="00000000" w:rsidP="00000000" w:rsidRDefault="00000000" w:rsidRPr="00000000" w14:paraId="00000035">
      <w:pPr>
        <w:pStyle w:val="Heading4"/>
        <w:numPr>
          <w:ilvl w:val="3"/>
          <w:numId w:val="4"/>
        </w:numPr>
        <w:ind w:left="0" w:firstLine="360"/>
        <w:rPr/>
      </w:pPr>
      <w:r w:rsidDel="00000000" w:rsidR="00000000" w:rsidRPr="00000000">
        <w:rPr>
          <w:i w:val="1"/>
          <w:vertAlign w:val="baseline"/>
          <w:rtl w:val="0"/>
        </w:rPr>
        <w:t xml:space="preserve">Selection: </w:t>
      </w:r>
      <w:r w:rsidDel="00000000" w:rsidR="00000000" w:rsidRPr="00000000">
        <w:rPr>
          <w:i w:val="0"/>
          <w:vertAlign w:val="baseline"/>
          <w:rtl w:val="0"/>
        </w:rPr>
        <w:t xml:space="preserve">Highlight all author and affiliation lines.</w:t>
      </w:r>
      <w:r w:rsidDel="00000000" w:rsidR="00000000" w:rsidRPr="00000000">
        <w:rPr>
          <w:rtl w:val="0"/>
        </w:rPr>
      </w:r>
    </w:p>
    <w:p w:rsidR="00000000" w:rsidDel="00000000" w:rsidP="00000000" w:rsidRDefault="00000000" w:rsidRPr="00000000" w14:paraId="00000036">
      <w:pPr>
        <w:pStyle w:val="Heading4"/>
        <w:numPr>
          <w:ilvl w:val="3"/>
          <w:numId w:val="4"/>
        </w:numPr>
        <w:ind w:left="0" w:firstLine="360"/>
        <w:rPr/>
      </w:pPr>
      <w:r w:rsidDel="00000000" w:rsidR="00000000" w:rsidRPr="00000000">
        <w:rPr>
          <w:i w:val="1"/>
          <w:vertAlign w:val="baseline"/>
          <w:rtl w:val="0"/>
        </w:rPr>
        <w:t xml:space="preserve">Change number of columns: </w:t>
      </w:r>
      <w:r w:rsidDel="00000000" w:rsidR="00000000" w:rsidRPr="00000000">
        <w:rPr>
          <w:i w:val="0"/>
          <w:vertAlign w:val="baseline"/>
          <w:rtl w:val="0"/>
        </w:rPr>
        <w:t xml:space="preserve">Select the Columns icon from the MS Word Standard toolbar and then select the correct number of columns from the selection palette.</w:t>
      </w:r>
      <w:r w:rsidDel="00000000" w:rsidR="00000000" w:rsidRPr="00000000">
        <w:rPr>
          <w:rtl w:val="0"/>
        </w:rPr>
      </w:r>
    </w:p>
    <w:p w:rsidR="00000000" w:rsidDel="00000000" w:rsidP="00000000" w:rsidRDefault="00000000" w:rsidRPr="00000000" w14:paraId="00000037">
      <w:pPr>
        <w:pStyle w:val="Heading4"/>
        <w:numPr>
          <w:ilvl w:val="3"/>
          <w:numId w:val="4"/>
        </w:numPr>
        <w:ind w:left="0" w:firstLine="360"/>
        <w:rPr/>
      </w:pPr>
      <w:r w:rsidDel="00000000" w:rsidR="00000000" w:rsidRPr="00000000">
        <w:rPr>
          <w:i w:val="1"/>
          <w:vertAlign w:val="baseline"/>
          <w:rtl w:val="0"/>
        </w:rPr>
        <w:t xml:space="preserve">Deletion: </w:t>
      </w:r>
      <w:r w:rsidDel="00000000" w:rsidR="00000000" w:rsidRPr="00000000">
        <w:rPr>
          <w:i w:val="0"/>
          <w:vertAlign w:val="baseline"/>
          <w:rtl w:val="0"/>
        </w:rPr>
        <w:t xml:space="preserve">Delete the author and affiliation lines for the extra authors.</w:t>
      </w:r>
    </w:p>
    <w:p w:rsidR="00000000" w:rsidDel="00000000" w:rsidP="00000000" w:rsidRDefault="00000000" w:rsidRPr="00000000" w14:paraId="00000038">
      <w:pPr>
        <w:jc w:val="left"/>
        <w:rPr>
          <w:i w:val="0"/>
          <w:vertAlign w:val="baseline"/>
        </w:rPr>
      </w:pPr>
      <w:r w:rsidDel="00000000" w:rsidR="00000000" w:rsidRPr="00000000">
        <w:rPr>
          <w:rtl w:val="0"/>
        </w:rPr>
      </w:r>
    </w:p>
    <w:p w:rsidR="00000000" w:rsidDel="00000000" w:rsidP="00000000" w:rsidRDefault="00000000" w:rsidRPr="00000000" w14:paraId="00000039">
      <w:pPr>
        <w:pStyle w:val="Heading2"/>
        <w:numPr>
          <w:ilvl w:val="1"/>
          <w:numId w:val="4"/>
        </w:numPr>
        <w:ind w:left="288" w:hanging="288"/>
        <w:rPr/>
      </w:pPr>
      <w:r w:rsidDel="00000000" w:rsidR="00000000" w:rsidRPr="00000000">
        <w:rPr>
          <w:i w:val="1"/>
          <w:vertAlign w:val="baseline"/>
          <w:rtl w:val="0"/>
        </w:rPr>
        <w:t xml:space="preserve">Identify the Headings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Headings, or heads, are organizational devices that guide the reader through your paper. There are two types: component heads and text heads.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000000" w:rsidDel="00000000" w:rsidP="00000000" w:rsidRDefault="00000000" w:rsidRPr="00000000" w14:paraId="0000003D">
      <w:pPr>
        <w:pStyle w:val="Heading2"/>
        <w:numPr>
          <w:ilvl w:val="1"/>
          <w:numId w:val="4"/>
        </w:numPr>
        <w:ind w:left="288" w:hanging="288"/>
        <w:rPr/>
      </w:pPr>
      <w:r w:rsidDel="00000000" w:rsidR="00000000" w:rsidRPr="00000000">
        <w:rPr>
          <w:i w:val="1"/>
          <w:vertAlign w:val="baseline"/>
          <w:rtl w:val="0"/>
        </w:rPr>
        <w:t xml:space="preserve">Figures and Tables</w:t>
      </w:r>
      <w:r w:rsidDel="00000000" w:rsidR="00000000" w:rsidRPr="00000000">
        <w:rPr>
          <w:rtl w:val="0"/>
        </w:rPr>
      </w:r>
    </w:p>
    <w:p w:rsidR="00000000" w:rsidDel="00000000" w:rsidP="00000000" w:rsidRDefault="00000000" w:rsidRPr="00000000" w14:paraId="0000003E">
      <w:pPr>
        <w:pStyle w:val="Heading4"/>
        <w:numPr>
          <w:ilvl w:val="3"/>
          <w:numId w:val="4"/>
        </w:numPr>
        <w:ind w:left="0" w:firstLine="360"/>
        <w:rPr/>
      </w:pPr>
      <w:r w:rsidDel="00000000" w:rsidR="00000000" w:rsidRPr="00000000">
        <w:rPr>
          <w:i w:val="1"/>
          <w:vertAlign w:val="baseline"/>
          <w:rtl w:val="0"/>
        </w:rPr>
        <w:t xml:space="preserve"> Positioning Figures and Tables: </w:t>
      </w:r>
      <w:r w:rsidDel="00000000" w:rsidR="00000000" w:rsidRPr="00000000">
        <w:rPr>
          <w:i w:val="0"/>
          <w:vertAlign w:val="baseline"/>
          <w:rtl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240" w:line="216" w:lineRule="auto"/>
        <w:ind w:left="0" w:right="0" w:firstLine="0"/>
        <w:jc w:val="center"/>
        <w:rPr>
          <w:smallCaps w:val="1"/>
          <w:strike w:val="0"/>
          <w:color w:val="000000"/>
          <w:u w:val="none"/>
          <w:shd w:fill="auto" w:val="clear"/>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Table Type Styles</w:t>
      </w:r>
    </w:p>
    <w:tbl>
      <w:tblPr>
        <w:tblStyle w:val="Table1"/>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340"/>
        <w:gridCol w:w="900"/>
        <w:gridCol w:w="900"/>
        <w:tblGridChange w:id="0">
          <w:tblGrid>
            <w:gridCol w:w="720"/>
            <w:gridCol w:w="2340"/>
            <w:gridCol w:w="900"/>
            <w:gridCol w:w="900"/>
          </w:tblGrid>
        </w:tblGridChange>
      </w:tblGrid>
      <w:tr>
        <w:trPr>
          <w:cantSplit w:val="1"/>
          <w:trHeight w:val="240" w:hRule="atLeast"/>
          <w:tblHeader w:val="1"/>
        </w:trPr>
        <w:tc>
          <w:tcPr>
            <w:vMerge w:val="restart"/>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Head</w:t>
            </w:r>
          </w:p>
        </w:tc>
        <w:tc>
          <w:tcPr>
            <w:gridSpan w:val="3"/>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Table column subhead</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r>
      <w:tr>
        <w:trPr>
          <w:cantSplit w:val="0"/>
          <w:trHeight w:val="320" w:hRule="atLeast"/>
          <w:tblHeader w:val="0"/>
        </w:trPr>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copy</w:t>
            </w:r>
            <w:r w:rsidDel="00000000" w:rsidR="00000000" w:rsidRPr="00000000">
              <w:rPr>
                <w:rtl w:val="0"/>
              </w:rPr>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More table copy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04A">
            <w:pPr>
              <w:rPr>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4B">
            <w:pPr>
              <w:rPr>
                <w:sz w:val="16"/>
                <w:szCs w:val="16"/>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60" w:line="240" w:lineRule="auto"/>
        <w:ind w:left="418" w:right="0" w:hanging="360"/>
        <w:jc w:val="right"/>
        <w:rPr>
          <w:u w:val="none"/>
          <w:shd w:fill="auto" w:val="clear"/>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Sample of a Table footnote. (</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Table footnote</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360" w:right="0" w:hanging="360"/>
        <w:jc w:val="both"/>
        <w:rPr>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Example of a figure caption.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figure caption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000000" w:rsidDel="00000000" w:rsidP="00000000" w:rsidRDefault="00000000" w:rsidRPr="00000000" w14:paraId="0000004F">
      <w:pPr>
        <w:pStyle w:val="Heading5"/>
        <w:rPr>
          <w:vertAlign w:val="baseline"/>
        </w:rPr>
      </w:pPr>
      <w:r w:rsidDel="00000000" w:rsidR="00000000" w:rsidRPr="00000000">
        <w:rPr>
          <w:smallCaps w:val="1"/>
          <w:vertAlign w:val="baseline"/>
          <w:rtl w:val="0"/>
        </w:rPr>
        <w:t xml:space="preserve">Acknowledgment </w:t>
      </w:r>
      <w:r w:rsidDel="00000000" w:rsidR="00000000" w:rsidRPr="00000000">
        <w:rPr>
          <w:i w:val="1"/>
          <w:smallCaps w:val="1"/>
          <w:vertAlign w:val="baseline"/>
          <w:rtl w:val="0"/>
        </w:rPr>
        <w:t xml:space="preserve">(</w:t>
      </w:r>
      <w:r w:rsidDel="00000000" w:rsidR="00000000" w:rsidRPr="00000000">
        <w:rPr>
          <w:i w:val="1"/>
          <w:smallCaps w:val="0"/>
          <w:vertAlign w:val="baseline"/>
          <w:rtl w:val="0"/>
        </w:rPr>
        <w:t xml:space="preserve">Heading 5</w:t>
      </w:r>
      <w:r w:rsidDel="00000000" w:rsidR="00000000" w:rsidRPr="00000000">
        <w:rPr>
          <w:i w:val="1"/>
          <w:smallCaps w:val="1"/>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preferred spelling of the word “acknowledgment” in America is without an “e” after the “g”. Avoid the stilted expression “one of us (R. B. G.) thanks ...”.  Instead, try “R. B. G. thanks...”. Put sponsor acknowledgments in the unnumbered footnote on the first page.</w:t>
      </w:r>
    </w:p>
    <w:p w:rsidR="00000000" w:rsidDel="00000000" w:rsidP="00000000" w:rsidRDefault="00000000" w:rsidRPr="00000000" w14:paraId="00000051">
      <w:pPr>
        <w:pStyle w:val="Heading5"/>
        <w:rP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will number citations consecutively within brackets [1]. The sentence punctuation follows the bracket [2]. Refer simply to the reference number, as in [3]—do not use “Ref. [3]” or “reference [3]” except at the beginning of a sentence: “Reference [3] was the first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footnotes separately in superscripts. Place the actual footnote at the bottom of the column in which it was cited. Do not put footnotes in the abstract or reference list. Use letters for table footnotes.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papers published in translation journals, please give the English citation first, followed by the original foreign-language citation [6].</w:t>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 Eason, B. Noble, and I. N. Sneddon, “On certain integrals of Lipschitz-Hankel type involving products of Bessel functions,” Phil. Trans. Roy. Soc. London, vol. A247, pp. 529–551, April 1955.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 Clerk Maxwell, A Treatise on Electricity and Magnetism, 3rd ed., vol. 2. Oxford: Clarendon, 1892, pp.68–73.</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 S. Jacobs and C. P. Bean, “Fine particles, thin films and exchange anisotropy,” in Magnetism, vol. III, G. T. Rado and H. Suhl, Eds. New York: Academic, 1963, pp. 271–350.</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 Elissa, “Title of paper if known,” unpublished.</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 Nicole, “Title of paper with only first word capitalized,” J. Name Stand. Abbrev., in press.</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 Yorozu, M. Hirano, K. Oka, and Y. Tagawa, “Electron spectroscopy studies on magneto-optical media and plastic substrate interface,” IEEE Transl. J. Magn. Japan, vol. 2, pp. 740–741, August 1987 [Digests 9th Annual Conf. Magnetics Japan, p. 301, 1982].</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Young, The Technical Writer’s Handbook. Mill Valley, CA: University Science, 1989.</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 Eves and J. Valasek, “Adaptive control for singularly perturbed systems examples,” Code Ocean, Aug. 2023. [Online]. Available: </w:t>
      </w:r>
      <w:hyperlink r:id="rId1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https://codeocean.com/capsule/4989235/tree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 P. Kingma and M. Welling, “Auto-encoding variational Bayes,” 2013, arXiv:1312.6114. [Online]. Available: </w:t>
      </w:r>
      <w:hyperlink r:id="rId1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https://arxiv.org/abs/1312.6114</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 Liu, “Wi-Fi Energy Detection Testbed (12MTC),” 2023, gitHub repository. [Online]. Available: https://github.com/liustone99/Wi-Fi-Energy-Detection-Testbed-12MTC </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50" w:before="0" w:line="240" w:lineRule="auto"/>
        <w:ind w:left="354" w:right="0" w:hanging="354"/>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“Treatment episode data set: discharges (TEDS-D): concatenated, 2006 to 2009.” U.S. Department of Health and Human Services, Substance Abuse and Mental Health Services Administration, Office of Applied Studies, August, 2013, DOI:10.3886/ICPSR30122.v2</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354"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center"/>
        <w:rPr>
          <w:rFonts w:ascii="Times New Roman" w:cs="Times New Roman" w:eastAsia="Times New Roman" w:hAnsi="Times New Roman"/>
          <w:b w:val="0"/>
          <w:i w:val="0"/>
          <w:smallCaps w:val="0"/>
          <w:strike w:val="0"/>
          <w:color w:val="ff0000"/>
          <w:sz w:val="20"/>
          <w:szCs w:val="20"/>
          <w:u w:val="none"/>
          <w:shd w:fill="auto" w:val="clear"/>
          <w:vertAlign w:val="baseline"/>
        </w:rPr>
        <w:sectPr>
          <w:type w:val="continuous"/>
          <w:pgSz w:h="16838" w:w="11906" w:orient="portrait"/>
          <w:pgMar w:bottom="1440" w:top="1080" w:left="907" w:right="907" w:header="720" w:footer="720"/>
          <w:cols w:equalWidth="0" w:num="2">
            <w:col w:space="360" w:w="4865.999999999999"/>
            <w:col w:space="0" w:w="4865.999999999999"/>
          </w:cols>
        </w:sect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may result in your paper not being published.</w:t>
      </w: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3209925" cy="1152525"/>
                <wp:effectExtent b="0" l="0" r="0" t="0"/>
                <wp:wrapSquare wrapText="bothSides" distB="0" distT="0" distL="114300" distR="114300"/>
                <wp:docPr id="2" name=""/>
                <a:graphic>
                  <a:graphicData uri="http://schemas.microsoft.com/office/word/2010/wordprocessingShape">
                    <wps:wsp>
                      <wps:cNvSpPr/>
                      <wps:cNvPr id="3" name="Shape 3"/>
                      <wps:spPr>
                        <a:xfrm>
                          <a:off x="3745800" y="3208500"/>
                          <a:ext cx="320040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27.99999713897705"/>
                              <w:ind w:left="0" w:right="0" w:firstLine="287.99999237060547"/>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We suggest that you use a text box to insert a graphic (which is ideally a 300 dpi TIFF or EPS file, with all fonts embedded) because, in an MSW document, this method is somewhat more stable than directly inserting a picture.</w:t>
                            </w:r>
                          </w:p>
                          <w:p w:rsidR="00000000" w:rsidDel="00000000" w:rsidP="00000000" w:rsidRDefault="00000000" w:rsidRPr="00000000">
                            <w:pPr>
                              <w:spacing w:after="120" w:before="0" w:line="227.99999713897705"/>
                              <w:ind w:left="0" w:right="0" w:firstLine="287.99999237060547"/>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 have non-visible rules on your frame, use the MSWord “Format” pull-down menu, select Text Box &gt; Colors and Lines to choose No Fill and No Line.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3209925" cy="115252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209925" cy="1152525"/>
                        </a:xfrm>
                        <a:prstGeom prst="rect"/>
                        <a:ln/>
                      </pic:spPr>
                    </pic:pic>
                  </a:graphicData>
                </a:graphic>
              </wp:anchor>
            </w:drawing>
          </mc:Fallback>
        </mc:AlternateContent>
      </w:r>
    </w:p>
    <w:sectPr>
      <w:type w:val="continuous"/>
      <w:pgSz w:h="16838" w:w="11906" w:orient="portrait"/>
      <w:pgMar w:bottom="1440" w:top="108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XXX-X-XXXX-XXXX-X/XX/$XX.00 ©20XX IEEE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bidi w:val="1"/>
      <w:spacing w:line="360" w:lineRule="auto"/>
      <w:ind w:left="0" w:right="0" w:hanging="2"/>
      <w:jc w:val="center"/>
      <w:rPr>
        <w:color w:val="000000"/>
        <w:sz w:val="22"/>
        <w:szCs w:val="22"/>
        <w:vertAlign w:val="baseline"/>
      </w:rPr>
    </w:pPr>
    <w:r w:rsidDel="00000000" w:rsidR="00000000" w:rsidRPr="00000000">
      <w:rPr>
        <w:b w:val="1"/>
        <w:color w:val="000000"/>
        <w:sz w:val="22"/>
        <w:szCs w:val="22"/>
        <w:vertAlign w:val="baseline"/>
        <w:rtl w:val="0"/>
      </w:rPr>
      <w:t xml:space="preserve">Mohammed BOUDIAF University of  M'Sila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27306</wp:posOffset>
          </wp:positionH>
          <wp:positionV relativeFrom="paragraph">
            <wp:posOffset>-38099</wp:posOffset>
          </wp:positionV>
          <wp:extent cx="792480" cy="88582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2480" cy="885825"/>
                  </a:xfrm>
                  <a:prstGeom prst="rect"/>
                  <a:ln/>
                </pic:spPr>
              </pic:pic>
            </a:graphicData>
          </a:graphic>
        </wp:anchor>
      </w:drawing>
    </w:r>
  </w:p>
  <w:p w:rsidR="00000000" w:rsidDel="00000000" w:rsidP="00000000" w:rsidRDefault="00000000" w:rsidRPr="00000000" w14:paraId="00000067">
    <w:pPr>
      <w:pBdr>
        <w:top w:space="0" w:sz="0" w:val="nil"/>
        <w:left w:space="0" w:sz="0" w:val="nil"/>
        <w:bottom w:space="0" w:sz="0" w:val="nil"/>
        <w:right w:space="0" w:sz="0" w:val="nil"/>
        <w:between w:space="0" w:sz="0" w:val="nil"/>
      </w:pBdr>
      <w:bidi w:val="1"/>
      <w:spacing w:line="360" w:lineRule="auto"/>
      <w:ind w:left="-798" w:right="0" w:hanging="2.0000000000000284"/>
      <w:jc w:val="center"/>
      <w:rPr>
        <w:b w:val="0"/>
        <w:color w:val="ff0000"/>
        <w:sz w:val="22"/>
        <w:szCs w:val="22"/>
        <w:vertAlign w:val="baseline"/>
      </w:rPr>
    </w:pPr>
    <w:r w:rsidDel="00000000" w:rsidR="00000000" w:rsidRPr="00000000">
      <w:rPr>
        <w:b w:val="1"/>
        <w:color w:val="ff0000"/>
        <w:sz w:val="22"/>
        <w:szCs w:val="22"/>
        <w:vertAlign w:val="baseline"/>
        <w:rtl w:val="0"/>
      </w:rPr>
      <w:t xml:space="preserve">The First National Conference on Renewable Energies and Advanced Electrical Engineering</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bidi w:val="1"/>
      <w:spacing w:line="360" w:lineRule="auto"/>
      <w:ind w:left="0" w:right="0" w:hanging="2"/>
      <w:jc w:val="center"/>
      <w:rPr>
        <w:color w:val="ff0000"/>
        <w:sz w:val="22"/>
        <w:szCs w:val="22"/>
        <w:vertAlign w:val="baseline"/>
      </w:rPr>
    </w:pPr>
    <w:r w:rsidDel="00000000" w:rsidR="00000000" w:rsidRPr="00000000">
      <w:rPr>
        <w:b w:val="1"/>
        <w:color w:val="ff0000"/>
        <w:sz w:val="22"/>
        <w:szCs w:val="22"/>
        <w:vertAlign w:val="baseline"/>
        <w:rtl w:val="0"/>
      </w:rPr>
      <w:t xml:space="preserve">NC-REAEE’25</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 06-07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2025</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6713220" cy="12700"/>
              <wp:effectExtent b="0" l="0" r="0" t="0"/>
              <wp:wrapNone/>
              <wp:docPr id="1" name=""/>
              <a:graphic>
                <a:graphicData uri="http://schemas.microsoft.com/office/word/2010/wordprocessingShape">
                  <wps:wsp>
                    <wps:cNvCnPr/>
                    <wps:spPr>
                      <a:xfrm>
                        <a:off x="1989390" y="3780000"/>
                        <a:ext cx="67132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671322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71322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8"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Fig. %1."/>
      <w:lvlJc w:val="left"/>
      <w:pPr>
        <w:ind w:left="360" w:hanging="360"/>
      </w:pPr>
      <w:rPr>
        <w:rFonts w:ascii="Times New Roman" w:cs="Times New Roman" w:eastAsia="Times New Roman" w:hAnsi="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right"/>
      <w:pPr>
        <w:ind w:left="418" w:hanging="360"/>
      </w:pPr>
      <w:rPr>
        <w:rFonts w:ascii="Times New Roman" w:cs="Times New Roman" w:eastAsia="Times New Roman" w:hAnsi="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lvl w:ilvl="0">
      <w:start w:val="1"/>
      <w:numFmt w:val="decimal"/>
      <w:lvlText w:val="[%1]"/>
      <w:lvlJc w:val="left"/>
      <w:pPr>
        <w:ind w:left="360" w:hanging="360"/>
      </w:pPr>
      <w:rPr>
        <w:rFonts w:ascii="Times New Roman" w:cs="Times New Roman" w:eastAsia="Times New Roman" w:hAnsi="Times New Roman"/>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Roman"/>
      <w:lvlText w:val="TABLE %1. "/>
      <w:lvlJc w:val="left"/>
      <w:pPr>
        <w:ind w:left="0" w:firstLine="0"/>
      </w:pPr>
      <w:rPr>
        <w:rFonts w:ascii="Times New Roman" w:cs="Times New Roman" w:eastAsia="Times New Roman" w:hAnsi="Times New Roman"/>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spacing w:after="40" w:before="40" w:lineRule="auto"/>
      <w:ind w:left="0" w:firstLine="504"/>
      <w:jc w:val="both"/>
    </w:pPr>
    <w:rPr>
      <w:i w:val="1"/>
      <w:vertAlign w:val="baseline"/>
    </w:rPr>
  </w:style>
  <w:style w:type="paragraph" w:styleId="Heading5">
    <w:name w:val="heading 5"/>
    <w:basedOn w:val="Normal"/>
    <w:next w:val="Normal"/>
    <w:pPr>
      <w:spacing w:after="80" w:before="160" w:lineRule="auto"/>
      <w:jc w:val="center"/>
    </w:pPr>
    <w:rPr>
      <w:smallCaps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arxiv.org/abs/1312.6114" TargetMode="External"/><Relationship Id="rId12" Type="http://schemas.openxmlformats.org/officeDocument/2006/relationships/hyperlink" Target="https://codeocean.com/capsule/4989235/tr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